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F6D4E" w14:textId="40553A9A" w:rsidR="004311E2" w:rsidRPr="005B40CE" w:rsidRDefault="004311E2" w:rsidP="00C33CBE">
      <w:pPr>
        <w:ind w:left="2124" w:firstLine="708"/>
        <w:rPr>
          <w:rFonts w:asciiTheme="minorHAnsi" w:hAnsiTheme="minorHAnsi" w:cstheme="minorHAnsi"/>
          <w:szCs w:val="24"/>
        </w:rPr>
      </w:pPr>
      <w:bookmarkStart w:id="0" w:name="_Hlk128571824"/>
      <w:bookmarkStart w:id="1" w:name="_Hlk128571742"/>
    </w:p>
    <w:p w14:paraId="40A1E7D1" w14:textId="77777777" w:rsidR="001914D0" w:rsidRPr="005B40CE" w:rsidRDefault="001914D0" w:rsidP="00C33CBE">
      <w:pPr>
        <w:ind w:left="2124" w:firstLine="708"/>
        <w:rPr>
          <w:rFonts w:asciiTheme="minorHAnsi" w:hAnsiTheme="minorHAnsi" w:cstheme="minorHAnsi"/>
          <w:szCs w:val="24"/>
        </w:rPr>
      </w:pPr>
    </w:p>
    <w:p w14:paraId="1AF78F77" w14:textId="36658B86" w:rsidR="00C33CBE" w:rsidRPr="005B40CE" w:rsidRDefault="00EF7E3B" w:rsidP="00C33CBE">
      <w:pPr>
        <w:ind w:left="2124" w:firstLine="708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RESOLUÇÃO Nº</w:t>
      </w:r>
      <w:bookmarkStart w:id="2" w:name="_GoBack"/>
      <w:bookmarkEnd w:id="2"/>
      <w:r w:rsidR="009E0B14" w:rsidRPr="00BE4F07">
        <w:rPr>
          <w:rFonts w:asciiTheme="minorHAnsi" w:hAnsiTheme="minorHAnsi" w:cstheme="minorHAnsi"/>
          <w:b/>
          <w:bCs/>
          <w:szCs w:val="24"/>
        </w:rPr>
        <w:t xml:space="preserve"> 04</w:t>
      </w:r>
      <w:r w:rsidR="00C33CBE" w:rsidRPr="00BE4F07">
        <w:rPr>
          <w:rFonts w:asciiTheme="minorHAnsi" w:hAnsiTheme="minorHAnsi" w:cstheme="minorHAnsi"/>
          <w:b/>
          <w:bCs/>
          <w:szCs w:val="24"/>
        </w:rPr>
        <w:t xml:space="preserve">/2023 </w:t>
      </w:r>
    </w:p>
    <w:p w14:paraId="0EB2768F" w14:textId="2EAA07A2" w:rsidR="00C33CBE" w:rsidRDefault="00C33CBE" w:rsidP="00C33CBE">
      <w:pPr>
        <w:ind w:left="2124" w:firstLine="708"/>
        <w:rPr>
          <w:rFonts w:asciiTheme="minorHAnsi" w:hAnsiTheme="minorHAnsi" w:cstheme="minorHAnsi"/>
          <w:szCs w:val="24"/>
        </w:rPr>
      </w:pPr>
    </w:p>
    <w:p w14:paraId="4BF3A22D" w14:textId="77777777" w:rsidR="005B40CE" w:rsidRPr="005B40CE" w:rsidRDefault="005B40CE" w:rsidP="00C33CBE">
      <w:pPr>
        <w:ind w:left="2124" w:firstLine="708"/>
        <w:rPr>
          <w:rFonts w:asciiTheme="minorHAnsi" w:hAnsiTheme="minorHAnsi" w:cstheme="minorHAnsi"/>
          <w:szCs w:val="24"/>
        </w:rPr>
      </w:pPr>
    </w:p>
    <w:p w14:paraId="20531591" w14:textId="5CA16765" w:rsidR="00C33CBE" w:rsidRDefault="00C33CBE" w:rsidP="00C33CBE">
      <w:pPr>
        <w:ind w:left="3261" w:firstLine="141"/>
        <w:jc w:val="both"/>
        <w:rPr>
          <w:rFonts w:asciiTheme="minorHAnsi" w:hAnsiTheme="minorHAnsi" w:cstheme="minorHAnsi"/>
          <w:b/>
          <w:bCs/>
          <w:szCs w:val="24"/>
        </w:rPr>
      </w:pPr>
      <w:r w:rsidRPr="005B40CE">
        <w:rPr>
          <w:rFonts w:asciiTheme="minorHAnsi" w:hAnsiTheme="minorHAnsi" w:cstheme="minorHAnsi"/>
          <w:b/>
          <w:bCs/>
          <w:szCs w:val="24"/>
        </w:rPr>
        <w:t xml:space="preserve">Dispõe sobre a instalação de Comissão Especial do Processo de Escolha dos Conselheiros Tutelares do Município de </w:t>
      </w:r>
      <w:r w:rsidR="001914D0" w:rsidRPr="005B40CE">
        <w:rPr>
          <w:rFonts w:asciiTheme="minorHAnsi" w:hAnsiTheme="minorHAnsi" w:cstheme="minorHAnsi"/>
          <w:b/>
          <w:bCs/>
          <w:szCs w:val="24"/>
        </w:rPr>
        <w:t>Protásio Alves</w:t>
      </w:r>
      <w:r w:rsidRPr="005B40CE">
        <w:rPr>
          <w:rFonts w:asciiTheme="minorHAnsi" w:hAnsiTheme="minorHAnsi" w:cstheme="minorHAnsi"/>
          <w:b/>
          <w:bCs/>
          <w:szCs w:val="24"/>
        </w:rPr>
        <w:t xml:space="preserve"> e dá outras providências. </w:t>
      </w:r>
    </w:p>
    <w:p w14:paraId="37087FBC" w14:textId="77777777" w:rsidR="005B40CE" w:rsidRPr="005B40CE" w:rsidRDefault="005B40CE" w:rsidP="00C33CBE">
      <w:pPr>
        <w:ind w:left="3261" w:firstLine="141"/>
        <w:jc w:val="both"/>
        <w:rPr>
          <w:rFonts w:asciiTheme="minorHAnsi" w:hAnsiTheme="minorHAnsi" w:cstheme="minorHAnsi"/>
          <w:b/>
          <w:bCs/>
          <w:szCs w:val="24"/>
        </w:rPr>
      </w:pPr>
    </w:p>
    <w:p w14:paraId="75715F2A" w14:textId="77777777" w:rsidR="00C33CBE" w:rsidRPr="005B40CE" w:rsidRDefault="00C33CBE" w:rsidP="00C33CBE">
      <w:pPr>
        <w:spacing w:line="276" w:lineRule="auto"/>
        <w:rPr>
          <w:rFonts w:asciiTheme="minorHAnsi" w:hAnsiTheme="minorHAnsi" w:cstheme="minorHAnsi"/>
          <w:szCs w:val="24"/>
        </w:rPr>
      </w:pPr>
    </w:p>
    <w:p w14:paraId="337F02B8" w14:textId="71F83522" w:rsidR="00573DD4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O Conselho Municipal dos Direitos da Criança e do Adolescente - CMDCA no uso das atribuições estabelecidas na Lei Federal nº 8.069/90 (Estatuto da Criança e do Adolescente), na </w:t>
      </w:r>
      <w:r w:rsidR="00BE4F07" w:rsidRPr="005B40CE">
        <w:rPr>
          <w:rFonts w:asciiTheme="minorHAnsi" w:hAnsiTheme="minorHAnsi" w:cstheme="minorHAnsi"/>
          <w:szCs w:val="24"/>
        </w:rPr>
        <w:t>Lei Municipal</w:t>
      </w:r>
      <w:r w:rsidRPr="005B40CE">
        <w:rPr>
          <w:rFonts w:asciiTheme="minorHAnsi" w:hAnsiTheme="minorHAnsi" w:cstheme="minorHAnsi"/>
          <w:szCs w:val="24"/>
        </w:rPr>
        <w:t xml:space="preserve"> </w:t>
      </w:r>
      <w:r w:rsidR="00801EE5" w:rsidRPr="005B40CE">
        <w:rPr>
          <w:rFonts w:asciiTheme="minorHAnsi" w:hAnsiTheme="minorHAnsi" w:cstheme="minorHAnsi"/>
          <w:szCs w:val="24"/>
        </w:rPr>
        <w:t>nº</w:t>
      </w:r>
      <w:r w:rsidRPr="005B40CE">
        <w:rPr>
          <w:rFonts w:asciiTheme="minorHAnsi" w:hAnsiTheme="minorHAnsi" w:cstheme="minorHAnsi"/>
          <w:szCs w:val="24"/>
        </w:rPr>
        <w:t xml:space="preserve"> </w:t>
      </w:r>
      <w:r w:rsidR="00573DD4" w:rsidRPr="005B40CE">
        <w:rPr>
          <w:rFonts w:asciiTheme="minorHAnsi" w:hAnsiTheme="minorHAnsi" w:cstheme="minorHAnsi"/>
          <w:szCs w:val="24"/>
        </w:rPr>
        <w:t>1.655/2023</w:t>
      </w:r>
      <w:r w:rsidRPr="005B40CE">
        <w:rPr>
          <w:rFonts w:asciiTheme="minorHAnsi" w:hAnsiTheme="minorHAnsi" w:cstheme="minorHAnsi"/>
          <w:szCs w:val="24"/>
        </w:rPr>
        <w:t xml:space="preserve"> e demais alterações, conforme reunião ordinária rea</w:t>
      </w:r>
      <w:r w:rsidR="00406626">
        <w:rPr>
          <w:rFonts w:asciiTheme="minorHAnsi" w:hAnsiTheme="minorHAnsi" w:cstheme="minorHAnsi"/>
          <w:szCs w:val="24"/>
        </w:rPr>
        <w:t>lizada 31 de março de 2023</w:t>
      </w:r>
      <w:r w:rsidRPr="005B40CE">
        <w:rPr>
          <w:rFonts w:asciiTheme="minorHAnsi" w:hAnsiTheme="minorHAnsi" w:cstheme="minorHAnsi"/>
          <w:szCs w:val="24"/>
        </w:rPr>
        <w:t>,</w:t>
      </w:r>
    </w:p>
    <w:p w14:paraId="492CD957" w14:textId="3BA218B1" w:rsidR="005B40CE" w:rsidRDefault="005B40C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5CDAD041" w14:textId="589AB2C0" w:rsidR="00C33CBE" w:rsidRDefault="00C33CBE" w:rsidP="00573DD4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Cs w:val="24"/>
        </w:rPr>
      </w:pPr>
      <w:r w:rsidRPr="005B40CE">
        <w:rPr>
          <w:rFonts w:asciiTheme="minorHAnsi" w:hAnsiTheme="minorHAnsi" w:cstheme="minorHAnsi"/>
          <w:b/>
          <w:bCs/>
          <w:szCs w:val="24"/>
        </w:rPr>
        <w:t>RESOLVE:</w:t>
      </w:r>
    </w:p>
    <w:p w14:paraId="41C848EA" w14:textId="77777777" w:rsidR="005B40CE" w:rsidRPr="005B40CE" w:rsidRDefault="005B40CE" w:rsidP="00573DD4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0D81646" w14:textId="77777777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5836C418" w14:textId="5A1B3AFB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b/>
          <w:bCs/>
          <w:szCs w:val="24"/>
        </w:rPr>
        <w:t>Art. 1°</w:t>
      </w:r>
      <w:r w:rsidRPr="005B40CE">
        <w:rPr>
          <w:rFonts w:asciiTheme="minorHAnsi" w:hAnsiTheme="minorHAnsi" w:cstheme="minorHAnsi"/>
          <w:szCs w:val="24"/>
        </w:rPr>
        <w:t xml:space="preserve"> Constituir Comissão Especial Eleitoral do Processo de Escolha de membros do Conselho Tutelar, denominada simplesmente Comissão Especial, encarregada de organizar o processo de escolha dos membros dos conselheiros </w:t>
      </w:r>
      <w:r w:rsidR="0026240B" w:rsidRPr="005B40CE">
        <w:rPr>
          <w:rFonts w:asciiTheme="minorHAnsi" w:hAnsiTheme="minorHAnsi" w:cstheme="minorHAnsi"/>
          <w:szCs w:val="24"/>
        </w:rPr>
        <w:t>tutelares do</w:t>
      </w:r>
      <w:r w:rsidRPr="005B40CE">
        <w:rPr>
          <w:rFonts w:asciiTheme="minorHAnsi" w:hAnsiTheme="minorHAnsi" w:cstheme="minorHAnsi"/>
          <w:szCs w:val="24"/>
        </w:rPr>
        <w:t xml:space="preserve"> município de </w:t>
      </w:r>
      <w:r w:rsidR="001914D0" w:rsidRPr="005B40CE">
        <w:rPr>
          <w:rFonts w:asciiTheme="minorHAnsi" w:hAnsiTheme="minorHAnsi" w:cstheme="minorHAnsi"/>
          <w:szCs w:val="24"/>
        </w:rPr>
        <w:t>Protásio Alves/RS</w:t>
      </w:r>
      <w:r w:rsidR="00406626">
        <w:rPr>
          <w:rFonts w:asciiTheme="minorHAnsi" w:hAnsiTheme="minorHAnsi" w:cstheme="minorHAnsi"/>
          <w:szCs w:val="24"/>
        </w:rPr>
        <w:t>.</w:t>
      </w:r>
    </w:p>
    <w:p w14:paraId="128EA931" w14:textId="77777777" w:rsidR="000703D6" w:rsidRPr="005B40CE" w:rsidRDefault="000703D6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4FD4A35E" w14:textId="76A80D7A" w:rsidR="000703D6" w:rsidRPr="005B40CE" w:rsidRDefault="000703D6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b/>
          <w:bCs/>
          <w:szCs w:val="24"/>
        </w:rPr>
        <w:t>Art. 2º</w:t>
      </w:r>
      <w:r w:rsidRPr="005B40CE">
        <w:rPr>
          <w:rFonts w:asciiTheme="minorHAnsi" w:hAnsiTheme="minorHAnsi" w:cstheme="minorHAnsi"/>
          <w:szCs w:val="24"/>
        </w:rPr>
        <w:t xml:space="preserve"> A </w:t>
      </w:r>
      <w:r w:rsidR="00B228C0" w:rsidRPr="005B40CE">
        <w:rPr>
          <w:rFonts w:asciiTheme="minorHAnsi" w:hAnsiTheme="minorHAnsi" w:cstheme="minorHAnsi"/>
          <w:szCs w:val="24"/>
        </w:rPr>
        <w:t>C</w:t>
      </w:r>
      <w:r w:rsidRPr="005B40CE">
        <w:rPr>
          <w:rFonts w:asciiTheme="minorHAnsi" w:hAnsiTheme="minorHAnsi" w:cstheme="minorHAnsi"/>
          <w:szCs w:val="24"/>
        </w:rPr>
        <w:t>omissão especial encarregada de realizar o processo de escolha deverá analisar os pedidos de registro de candidatura e dar ampla publicidade à relação dos pretendentes inscritos, facultando a qualquer cidadão impugnar, no prazo de 5 (cinco) dias contados da publicação, candidatos que não atendam os requisitos exigidos, indicando os elementos probatórios.</w:t>
      </w:r>
    </w:p>
    <w:p w14:paraId="1D4DE19A" w14:textId="77777777" w:rsidR="000703D6" w:rsidRPr="005B40CE" w:rsidRDefault="000703D6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54D8C996" w14:textId="4FC33E1C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b/>
          <w:bCs/>
          <w:szCs w:val="24"/>
        </w:rPr>
        <w:t xml:space="preserve">Art. </w:t>
      </w:r>
      <w:r w:rsidR="000703D6" w:rsidRPr="005B40CE">
        <w:rPr>
          <w:rFonts w:asciiTheme="minorHAnsi" w:hAnsiTheme="minorHAnsi" w:cstheme="minorHAnsi"/>
          <w:b/>
          <w:bCs/>
          <w:szCs w:val="24"/>
        </w:rPr>
        <w:t>3</w:t>
      </w:r>
      <w:r w:rsidRPr="005B40CE">
        <w:rPr>
          <w:rFonts w:asciiTheme="minorHAnsi" w:hAnsiTheme="minorHAnsi" w:cstheme="minorHAnsi"/>
          <w:b/>
          <w:bCs/>
          <w:szCs w:val="24"/>
        </w:rPr>
        <w:t>º</w:t>
      </w:r>
      <w:r w:rsidRPr="005B40CE">
        <w:rPr>
          <w:rFonts w:asciiTheme="minorHAnsi" w:hAnsiTheme="minorHAnsi" w:cstheme="minorHAnsi"/>
          <w:szCs w:val="24"/>
        </w:rPr>
        <w:t xml:space="preserve"> A Comissão </w:t>
      </w:r>
      <w:r w:rsidR="0026240B" w:rsidRPr="005B40CE">
        <w:rPr>
          <w:rFonts w:asciiTheme="minorHAnsi" w:hAnsiTheme="minorHAnsi" w:cstheme="minorHAnsi"/>
          <w:szCs w:val="24"/>
        </w:rPr>
        <w:t>Especial será</w:t>
      </w:r>
      <w:r w:rsidRPr="005B40CE">
        <w:rPr>
          <w:rFonts w:asciiTheme="minorHAnsi" w:hAnsiTheme="minorHAnsi" w:cstheme="minorHAnsi"/>
          <w:szCs w:val="24"/>
        </w:rPr>
        <w:t xml:space="preserve"> composta paritariamente por membros do CMDCA e, ainda, por servidores designados pelo Executivo Municipal:</w:t>
      </w:r>
    </w:p>
    <w:p w14:paraId="559A93B7" w14:textId="77777777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776738E9" w14:textId="4B499A94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 a) </w:t>
      </w:r>
      <w:r w:rsidR="00083655">
        <w:rPr>
          <w:rFonts w:asciiTheme="minorHAnsi" w:hAnsiTheme="minorHAnsi" w:cstheme="minorHAnsi"/>
          <w:szCs w:val="24"/>
        </w:rPr>
        <w:t>Juliana Bessegato</w:t>
      </w:r>
      <w:r w:rsidRPr="005B40CE">
        <w:rPr>
          <w:rFonts w:asciiTheme="minorHAnsi" w:hAnsiTheme="minorHAnsi" w:cstheme="minorHAnsi"/>
          <w:szCs w:val="24"/>
        </w:rPr>
        <w:t xml:space="preserve">, representante do Poder </w:t>
      </w:r>
      <w:r w:rsidR="00BE4F07" w:rsidRPr="005B40CE">
        <w:rPr>
          <w:rFonts w:asciiTheme="minorHAnsi" w:hAnsiTheme="minorHAnsi" w:cstheme="minorHAnsi"/>
          <w:szCs w:val="24"/>
        </w:rPr>
        <w:t>Público; Vice</w:t>
      </w:r>
      <w:r w:rsidRPr="005B40CE">
        <w:rPr>
          <w:rFonts w:asciiTheme="minorHAnsi" w:hAnsiTheme="minorHAnsi" w:cstheme="minorHAnsi"/>
          <w:szCs w:val="24"/>
        </w:rPr>
        <w:t>-presiden</w:t>
      </w:r>
      <w:r w:rsidR="005F5CA7" w:rsidRPr="005B40CE">
        <w:rPr>
          <w:rFonts w:asciiTheme="minorHAnsi" w:hAnsiTheme="minorHAnsi" w:cstheme="minorHAnsi"/>
          <w:szCs w:val="24"/>
        </w:rPr>
        <w:t>t</w:t>
      </w:r>
      <w:r w:rsidRPr="005B40CE">
        <w:rPr>
          <w:rFonts w:asciiTheme="minorHAnsi" w:hAnsiTheme="minorHAnsi" w:cstheme="minorHAnsi"/>
          <w:szCs w:val="24"/>
        </w:rPr>
        <w:t>e da Comissão;</w:t>
      </w:r>
    </w:p>
    <w:p w14:paraId="5552698A" w14:textId="7F875602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b) </w:t>
      </w:r>
      <w:proofErr w:type="spellStart"/>
      <w:r w:rsidR="00083655">
        <w:rPr>
          <w:rFonts w:asciiTheme="minorHAnsi" w:hAnsiTheme="minorHAnsi" w:cstheme="minorHAnsi"/>
          <w:szCs w:val="24"/>
        </w:rPr>
        <w:t>Eliege</w:t>
      </w:r>
      <w:proofErr w:type="spellEnd"/>
      <w:r w:rsidR="00083655">
        <w:rPr>
          <w:rFonts w:asciiTheme="minorHAnsi" w:hAnsiTheme="minorHAnsi" w:cstheme="minorHAnsi"/>
          <w:szCs w:val="24"/>
        </w:rPr>
        <w:t xml:space="preserve"> Fracasso</w:t>
      </w:r>
      <w:r w:rsidRPr="005B40CE">
        <w:rPr>
          <w:rFonts w:asciiTheme="minorHAnsi" w:hAnsiTheme="minorHAnsi" w:cstheme="minorHAnsi"/>
          <w:szCs w:val="24"/>
        </w:rPr>
        <w:t xml:space="preserve">, representante do Poder Público; </w:t>
      </w:r>
    </w:p>
    <w:p w14:paraId="1F3020C6" w14:textId="407F405F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c) </w:t>
      </w:r>
      <w:r w:rsidR="00083655">
        <w:rPr>
          <w:rFonts w:asciiTheme="minorHAnsi" w:hAnsiTheme="minorHAnsi" w:cstheme="minorHAnsi"/>
          <w:szCs w:val="24"/>
        </w:rPr>
        <w:t xml:space="preserve">Maria Angélica </w:t>
      </w:r>
      <w:proofErr w:type="spellStart"/>
      <w:r w:rsidR="00083655">
        <w:rPr>
          <w:rFonts w:asciiTheme="minorHAnsi" w:hAnsiTheme="minorHAnsi" w:cstheme="minorHAnsi"/>
          <w:szCs w:val="24"/>
        </w:rPr>
        <w:t>Prigol</w:t>
      </w:r>
      <w:proofErr w:type="spellEnd"/>
      <w:r w:rsidR="0008365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83655">
        <w:rPr>
          <w:rFonts w:asciiTheme="minorHAnsi" w:hAnsiTheme="minorHAnsi" w:cstheme="minorHAnsi"/>
          <w:szCs w:val="24"/>
        </w:rPr>
        <w:t>Defaveri</w:t>
      </w:r>
      <w:proofErr w:type="spellEnd"/>
      <w:r w:rsidRPr="005B40CE">
        <w:rPr>
          <w:rFonts w:asciiTheme="minorHAnsi" w:hAnsiTheme="minorHAnsi" w:cstheme="minorHAnsi"/>
          <w:szCs w:val="24"/>
        </w:rPr>
        <w:t>, representante da Socie</w:t>
      </w:r>
      <w:r w:rsidR="00083655">
        <w:rPr>
          <w:rFonts w:asciiTheme="minorHAnsi" w:hAnsiTheme="minorHAnsi" w:cstheme="minorHAnsi"/>
          <w:szCs w:val="24"/>
        </w:rPr>
        <w:t>dade Civil - Presidente do Comissão;</w:t>
      </w:r>
      <w:r w:rsidRPr="005B40CE">
        <w:rPr>
          <w:rFonts w:asciiTheme="minorHAnsi" w:hAnsiTheme="minorHAnsi" w:cstheme="minorHAnsi"/>
          <w:szCs w:val="24"/>
        </w:rPr>
        <w:t xml:space="preserve"> </w:t>
      </w:r>
    </w:p>
    <w:p w14:paraId="2B7C427E" w14:textId="6A16E658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proofErr w:type="gramStart"/>
      <w:r w:rsidRPr="005B40CE">
        <w:rPr>
          <w:rFonts w:asciiTheme="minorHAnsi" w:hAnsiTheme="minorHAnsi" w:cstheme="minorHAnsi"/>
          <w:szCs w:val="24"/>
        </w:rPr>
        <w:t>d)</w:t>
      </w:r>
      <w:proofErr w:type="gramEnd"/>
      <w:r w:rsidR="00083655">
        <w:rPr>
          <w:rFonts w:asciiTheme="minorHAnsi" w:hAnsiTheme="minorHAnsi" w:cstheme="minorHAnsi"/>
          <w:szCs w:val="24"/>
        </w:rPr>
        <w:t xml:space="preserve">Maria </w:t>
      </w:r>
      <w:proofErr w:type="spellStart"/>
      <w:r w:rsidR="00083655">
        <w:rPr>
          <w:rFonts w:asciiTheme="minorHAnsi" w:hAnsiTheme="minorHAnsi" w:cstheme="minorHAnsi"/>
          <w:szCs w:val="24"/>
        </w:rPr>
        <w:t>Prigol</w:t>
      </w:r>
      <w:proofErr w:type="spellEnd"/>
      <w:r w:rsidR="0008365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83655">
        <w:rPr>
          <w:rFonts w:asciiTheme="minorHAnsi" w:hAnsiTheme="minorHAnsi" w:cstheme="minorHAnsi"/>
          <w:szCs w:val="24"/>
        </w:rPr>
        <w:t>Lorencet</w:t>
      </w:r>
      <w:proofErr w:type="spellEnd"/>
      <w:r w:rsidRPr="005B40CE">
        <w:rPr>
          <w:rFonts w:asciiTheme="minorHAnsi" w:hAnsiTheme="minorHAnsi" w:cstheme="minorHAnsi"/>
          <w:szCs w:val="24"/>
        </w:rPr>
        <w:t xml:space="preserve">, representante da Sociedade Civil; </w:t>
      </w:r>
    </w:p>
    <w:p w14:paraId="49894749" w14:textId="372A01C5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lastRenderedPageBreak/>
        <w:t xml:space="preserve">e) </w:t>
      </w:r>
      <w:r w:rsidR="00083655">
        <w:rPr>
          <w:rFonts w:asciiTheme="minorHAnsi" w:hAnsiTheme="minorHAnsi" w:cstheme="minorHAnsi"/>
          <w:szCs w:val="24"/>
        </w:rPr>
        <w:t>Juliane Gotardo</w:t>
      </w:r>
      <w:r w:rsidRPr="005B40CE">
        <w:rPr>
          <w:rFonts w:asciiTheme="minorHAnsi" w:hAnsiTheme="minorHAnsi" w:cstheme="minorHAnsi"/>
          <w:szCs w:val="24"/>
        </w:rPr>
        <w:t xml:space="preserve">, servidor designado pelo Executivo Municipal; </w:t>
      </w:r>
    </w:p>
    <w:p w14:paraId="0B788A61" w14:textId="631F8DCA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f) </w:t>
      </w:r>
      <w:proofErr w:type="spellStart"/>
      <w:r w:rsidR="00083655">
        <w:rPr>
          <w:rFonts w:asciiTheme="minorHAnsi" w:hAnsiTheme="minorHAnsi" w:cstheme="minorHAnsi"/>
          <w:szCs w:val="24"/>
        </w:rPr>
        <w:t>Taize</w:t>
      </w:r>
      <w:proofErr w:type="spellEnd"/>
      <w:r w:rsidR="00083655">
        <w:rPr>
          <w:rFonts w:asciiTheme="minorHAnsi" w:hAnsiTheme="minorHAnsi" w:cstheme="minorHAnsi"/>
          <w:szCs w:val="24"/>
        </w:rPr>
        <w:t xml:space="preserve"> Zanin Martello</w:t>
      </w:r>
      <w:r w:rsidRPr="005B40CE">
        <w:rPr>
          <w:rFonts w:asciiTheme="minorHAnsi" w:hAnsiTheme="minorHAnsi" w:cstheme="minorHAnsi"/>
          <w:szCs w:val="24"/>
        </w:rPr>
        <w:t>, servidor designado pelo Executivo Municipal.</w:t>
      </w:r>
    </w:p>
    <w:bookmarkEnd w:id="0"/>
    <w:p w14:paraId="3374A1B1" w14:textId="77777777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1FB6C348" w14:textId="1D27CFD9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 § 1º. A Comissão Especial será </w:t>
      </w:r>
      <w:r w:rsidR="00083655" w:rsidRPr="00083655">
        <w:rPr>
          <w:rFonts w:asciiTheme="minorHAnsi" w:hAnsiTheme="minorHAnsi" w:cstheme="minorHAnsi"/>
          <w:szCs w:val="24"/>
        </w:rPr>
        <w:t xml:space="preserve">presidida pela Senhora Maria Angélica </w:t>
      </w:r>
      <w:proofErr w:type="spellStart"/>
      <w:r w:rsidR="00083655" w:rsidRPr="00083655">
        <w:rPr>
          <w:rFonts w:asciiTheme="minorHAnsi" w:hAnsiTheme="minorHAnsi" w:cstheme="minorHAnsi"/>
          <w:szCs w:val="24"/>
        </w:rPr>
        <w:t>Prigol</w:t>
      </w:r>
      <w:proofErr w:type="spellEnd"/>
      <w:r w:rsidR="00083655" w:rsidRPr="0008365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83655" w:rsidRPr="00083655">
        <w:rPr>
          <w:rFonts w:asciiTheme="minorHAnsi" w:hAnsiTheme="minorHAnsi" w:cstheme="minorHAnsi"/>
          <w:szCs w:val="24"/>
        </w:rPr>
        <w:t>Defaveri</w:t>
      </w:r>
      <w:proofErr w:type="spellEnd"/>
      <w:r w:rsidR="00406626" w:rsidRPr="00083655">
        <w:rPr>
          <w:rFonts w:asciiTheme="minorHAnsi" w:hAnsiTheme="minorHAnsi" w:cstheme="minorHAnsi"/>
          <w:szCs w:val="24"/>
        </w:rPr>
        <w:t xml:space="preserve"> </w:t>
      </w:r>
      <w:r w:rsidRPr="005B40CE">
        <w:rPr>
          <w:rFonts w:asciiTheme="minorHAnsi" w:hAnsiTheme="minorHAnsi" w:cstheme="minorHAnsi"/>
          <w:szCs w:val="24"/>
        </w:rPr>
        <w:t>e, na ausência deste, pelo Vice-Presidente</w:t>
      </w:r>
      <w:r w:rsidR="00083655">
        <w:rPr>
          <w:rFonts w:asciiTheme="minorHAnsi" w:hAnsiTheme="minorHAnsi" w:cstheme="minorHAnsi"/>
          <w:szCs w:val="24"/>
        </w:rPr>
        <w:t xml:space="preserve"> Juliana Bessegato</w:t>
      </w:r>
      <w:r w:rsidRPr="005B40CE">
        <w:rPr>
          <w:rFonts w:asciiTheme="minorHAnsi" w:hAnsiTheme="minorHAnsi" w:cstheme="minorHAnsi"/>
          <w:szCs w:val="24"/>
        </w:rPr>
        <w:t xml:space="preserve">, devendo ser designado dentre os demais membros, o Secretário. </w:t>
      </w:r>
    </w:p>
    <w:p w14:paraId="346E80CA" w14:textId="77777777" w:rsidR="004311E2" w:rsidRPr="005B40CE" w:rsidRDefault="004311E2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06D3DC6C" w14:textId="0E4FA7FE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§2º. Não poderão fazer parte da Comissão Especial, os conselheiros que concorrerão ao processo de escolha </w:t>
      </w:r>
      <w:r w:rsidR="0026240B" w:rsidRPr="005B40CE">
        <w:rPr>
          <w:rFonts w:asciiTheme="minorHAnsi" w:hAnsiTheme="minorHAnsi" w:cstheme="minorHAnsi"/>
          <w:szCs w:val="24"/>
        </w:rPr>
        <w:t>de</w:t>
      </w:r>
      <w:r w:rsidRPr="005B40CE">
        <w:rPr>
          <w:rFonts w:asciiTheme="minorHAnsi" w:hAnsiTheme="minorHAnsi" w:cstheme="minorHAnsi"/>
          <w:szCs w:val="24"/>
        </w:rPr>
        <w:t xml:space="preserve"> membros do Conselho Tutelar ou que possuam cônjuge, companheiro, ainda que em união </w:t>
      </w:r>
      <w:proofErr w:type="spellStart"/>
      <w:r w:rsidRPr="005B40CE">
        <w:rPr>
          <w:rFonts w:asciiTheme="minorHAnsi" w:hAnsiTheme="minorHAnsi" w:cstheme="minorHAnsi"/>
          <w:szCs w:val="24"/>
        </w:rPr>
        <w:t>homoafetiva</w:t>
      </w:r>
      <w:proofErr w:type="spellEnd"/>
      <w:r w:rsidRPr="005B40CE">
        <w:rPr>
          <w:rFonts w:asciiTheme="minorHAnsi" w:hAnsiTheme="minorHAnsi" w:cstheme="minorHAnsi"/>
          <w:szCs w:val="24"/>
        </w:rPr>
        <w:t xml:space="preserve">, ou parentes em linha reta colateral ou por afinidade, até o terceiro grau, como: filhos, pais, irmãos, enteados, padrasto, madrasta ou tios, que irão participar do processo; </w:t>
      </w:r>
    </w:p>
    <w:p w14:paraId="3C28844A" w14:textId="77777777" w:rsidR="004311E2" w:rsidRPr="005B40CE" w:rsidRDefault="004311E2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2C1804EB" w14:textId="349BC0AC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>§3º. Caso algum membro do CMD</w:t>
      </w:r>
      <w:r w:rsidR="00BE4F07">
        <w:rPr>
          <w:rFonts w:asciiTheme="minorHAnsi" w:hAnsiTheme="minorHAnsi" w:cstheme="minorHAnsi"/>
          <w:szCs w:val="24"/>
        </w:rPr>
        <w:t>C</w:t>
      </w:r>
      <w:r w:rsidRPr="005B40CE">
        <w:rPr>
          <w:rFonts w:asciiTheme="minorHAnsi" w:hAnsiTheme="minorHAnsi" w:cstheme="minorHAnsi"/>
          <w:szCs w:val="24"/>
        </w:rPr>
        <w:t xml:space="preserve">A venha a tornar-se impedido por conta do disposto no §2º deste artigo, será afastado da Comissão Especial, sendo substituído por qualquer outro conselheiro, inclusive suplente. </w:t>
      </w:r>
    </w:p>
    <w:p w14:paraId="7098E00D" w14:textId="77777777" w:rsidR="00C33CBE" w:rsidRPr="005B40CE" w:rsidRDefault="00C33CBE" w:rsidP="00C33CB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6C944BA4" w14:textId="245F7955" w:rsidR="00C05932" w:rsidRPr="005B40CE" w:rsidRDefault="00C33CBE" w:rsidP="0026240B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b/>
          <w:bCs/>
          <w:szCs w:val="24"/>
        </w:rPr>
        <w:t xml:space="preserve">Art. </w:t>
      </w:r>
      <w:r w:rsidR="004311E2" w:rsidRPr="005B40CE">
        <w:rPr>
          <w:rFonts w:asciiTheme="minorHAnsi" w:hAnsiTheme="minorHAnsi" w:cstheme="minorHAnsi"/>
          <w:b/>
          <w:bCs/>
          <w:szCs w:val="24"/>
        </w:rPr>
        <w:t>4</w:t>
      </w:r>
      <w:r w:rsidRPr="005B40CE">
        <w:rPr>
          <w:rFonts w:asciiTheme="minorHAnsi" w:hAnsiTheme="minorHAnsi" w:cstheme="minorHAnsi"/>
          <w:b/>
          <w:bCs/>
          <w:szCs w:val="24"/>
        </w:rPr>
        <w:t>º</w:t>
      </w:r>
      <w:r w:rsidR="004311E2" w:rsidRPr="005B40CE">
        <w:rPr>
          <w:rFonts w:asciiTheme="minorHAnsi" w:hAnsiTheme="minorHAnsi" w:cstheme="minorHAnsi"/>
          <w:szCs w:val="24"/>
        </w:rPr>
        <w:t xml:space="preserve"> </w:t>
      </w:r>
      <w:r w:rsidRPr="005B40CE">
        <w:rPr>
          <w:rFonts w:asciiTheme="minorHAnsi" w:hAnsiTheme="minorHAnsi" w:cstheme="minorHAnsi"/>
          <w:szCs w:val="24"/>
        </w:rPr>
        <w:t xml:space="preserve">Compete à Comissão </w:t>
      </w:r>
      <w:r w:rsidR="0026240B" w:rsidRPr="005B40CE">
        <w:rPr>
          <w:rFonts w:asciiTheme="minorHAnsi" w:hAnsiTheme="minorHAnsi" w:cstheme="minorHAnsi"/>
          <w:szCs w:val="24"/>
        </w:rPr>
        <w:t>Especial Eleitoral</w:t>
      </w:r>
      <w:r w:rsidRPr="005B40CE">
        <w:rPr>
          <w:rFonts w:asciiTheme="minorHAnsi" w:hAnsiTheme="minorHAnsi" w:cstheme="minorHAnsi"/>
          <w:szCs w:val="24"/>
        </w:rPr>
        <w:t>:</w:t>
      </w:r>
    </w:p>
    <w:p w14:paraId="73E54250" w14:textId="3D2DFD1C" w:rsidR="00C33CBE" w:rsidRPr="005B40CE" w:rsidRDefault="00C33CBE" w:rsidP="002624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F0195ED" w14:textId="77777777" w:rsidR="00C33CBE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>I - Conduzir o processo de escolha dos membros do Conselho Tutelar, cumprindo a legislação municipal e demais normas aplicáveis;</w:t>
      </w:r>
    </w:p>
    <w:p w14:paraId="764017D6" w14:textId="22FB4660" w:rsidR="00C33CBE" w:rsidRPr="005B40CE" w:rsidRDefault="00C33CBE" w:rsidP="002624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 </w:t>
      </w:r>
      <w:r w:rsidR="000703D6" w:rsidRPr="005B40CE">
        <w:rPr>
          <w:rFonts w:asciiTheme="minorHAnsi" w:hAnsiTheme="minorHAnsi" w:cstheme="minorHAnsi"/>
          <w:szCs w:val="24"/>
        </w:rPr>
        <w:tab/>
      </w:r>
      <w:r w:rsidRPr="005B40CE">
        <w:rPr>
          <w:rFonts w:asciiTheme="minorHAnsi" w:hAnsiTheme="minorHAnsi" w:cstheme="minorHAnsi"/>
          <w:szCs w:val="24"/>
        </w:rPr>
        <w:t>II - Analisar e decidir, em primeira instância administrativa, os pedidos de registro e impugnação de candidaturas e outros incidentes ocorridos na realização do processo de escolha dos membros do Conselho Tutelar;</w:t>
      </w:r>
    </w:p>
    <w:p w14:paraId="7B91A69C" w14:textId="77777777" w:rsidR="00C33CBE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 III - Dar ampla publicidade à relação dos pretendentes inscritos; </w:t>
      </w:r>
    </w:p>
    <w:p w14:paraId="4219155F" w14:textId="39969418" w:rsidR="00C33CBE" w:rsidRPr="005B40CE" w:rsidRDefault="000703D6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 </w:t>
      </w:r>
      <w:r w:rsidR="00C33CBE" w:rsidRPr="005B40CE">
        <w:rPr>
          <w:rFonts w:asciiTheme="minorHAnsi" w:hAnsiTheme="minorHAnsi" w:cstheme="minorHAnsi"/>
          <w:szCs w:val="24"/>
        </w:rPr>
        <w:t xml:space="preserve">IV - Receber as impugnações apresentadas contra candidatos que não atendam os requisitos exigidos, fornecendo protocolo ao impugnante; </w:t>
      </w:r>
    </w:p>
    <w:p w14:paraId="3814977E" w14:textId="60BC22A0" w:rsidR="0026240B" w:rsidRPr="005B40CE" w:rsidRDefault="000703D6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 </w:t>
      </w:r>
      <w:r w:rsidR="00C33CBE" w:rsidRPr="005B40CE">
        <w:rPr>
          <w:rFonts w:asciiTheme="minorHAnsi" w:hAnsiTheme="minorHAnsi" w:cstheme="minorHAnsi"/>
          <w:szCs w:val="24"/>
        </w:rPr>
        <w:t xml:space="preserve">V - Notificar os candidatos impugnados, concedendo-lhes prazo para apresentação de defesa; </w:t>
      </w:r>
    </w:p>
    <w:p w14:paraId="0F9FDBE2" w14:textId="2C894006" w:rsidR="0026240B" w:rsidRPr="005B40CE" w:rsidRDefault="000703D6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 </w:t>
      </w:r>
      <w:r w:rsidR="00C33CBE" w:rsidRPr="005B40CE">
        <w:rPr>
          <w:rFonts w:asciiTheme="minorHAnsi" w:hAnsiTheme="minorHAnsi" w:cstheme="minorHAnsi"/>
          <w:szCs w:val="24"/>
        </w:rPr>
        <w:t xml:space="preserve">VI - Decidir, em primeira instância administrativa, acerca da impugnação das candidaturas, podendo, se necessário, ouvir testemunhas eventualmente arroladas, determinar a juntada de documentos e a realização de outras diligências; </w:t>
      </w:r>
    </w:p>
    <w:p w14:paraId="14694C8F" w14:textId="77777777" w:rsidR="0026240B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VII - Realizar reunião destinada a dar conhecimento formal das regras do processo de escolha aos candidatos considerados habilitados para o processo eleitoral, que firmarão compromisso de respeitá-las, sob pena de imposição das sanções previstas na legislação local; </w:t>
      </w:r>
    </w:p>
    <w:p w14:paraId="00F2531A" w14:textId="77777777" w:rsidR="0026240B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VIII - Escolher e divulgar os locais de votação e apuração dos votos; </w:t>
      </w:r>
    </w:p>
    <w:p w14:paraId="7948F2CB" w14:textId="310629E9" w:rsidR="0026240B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lastRenderedPageBreak/>
        <w:t xml:space="preserve">IX - Realizar, com apoio do Poder Executivo municipal, as gestões necessárias à obtenção de urnas eletrônicas e listas de eleitores, efetuando todo planejamento necessário para que sejam cumpridos os prazos estabelecidos, inclusive pela Resolução do TSE; </w:t>
      </w:r>
    </w:p>
    <w:p w14:paraId="2853F35D" w14:textId="6B6ABFB2" w:rsidR="00C33CBE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>X - Providenciar a confecção das células para votação manual, conforme modelo a ser aprovado;</w:t>
      </w:r>
    </w:p>
    <w:p w14:paraId="2D910ABC" w14:textId="77777777" w:rsidR="0026240B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XI - Adotar todas as providências necessárias para a realização do pleito, podendo, para tanto, selecionar, preferencialmente junto aos órgãos públicos municipais, os mesários e escrutinadores, bem como, seus respectivos suplentes, que serão previamente orientados sobre como proceder no dia do processo de escolha; </w:t>
      </w:r>
    </w:p>
    <w:p w14:paraId="06C6CF3C" w14:textId="77777777" w:rsidR="0026240B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>XII - Solicitar, junto ao comando da Brigada Militar, a designação de efetivo para garantir a ordem e segurança dos locais do processo de escolha e apuração, se necessário;</w:t>
      </w:r>
    </w:p>
    <w:p w14:paraId="5CDBC987" w14:textId="2869EF3D" w:rsidR="0026240B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XIII - Estimular e facilitar o encaminhamento de notícias de fatos que constituam violação das regras de campanha por parte dos candidatos ou à sua ordem; </w:t>
      </w:r>
    </w:p>
    <w:p w14:paraId="372100F6" w14:textId="77777777" w:rsidR="0026240B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>XIV - Analisar e decidir, em primeira instância administrativa, os pedidos de impugnação e outros incidentes ocorridos no dia da votação;</w:t>
      </w:r>
    </w:p>
    <w:p w14:paraId="01151680" w14:textId="030BAE76" w:rsidR="0026240B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XV - Divulgar o resultado oficial da votação; </w:t>
      </w:r>
    </w:p>
    <w:p w14:paraId="0843B11D" w14:textId="646D6E9A" w:rsidR="0026240B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XVI - Notificar o Ministério Público, com a antecedência </w:t>
      </w:r>
      <w:r w:rsidR="00952368" w:rsidRPr="005B40CE">
        <w:rPr>
          <w:rFonts w:asciiTheme="minorHAnsi" w:hAnsiTheme="minorHAnsi" w:cstheme="minorHAnsi"/>
          <w:szCs w:val="24"/>
        </w:rPr>
        <w:t>mínima de 72horas</w:t>
      </w:r>
      <w:r w:rsidRPr="005B40CE">
        <w:rPr>
          <w:rFonts w:asciiTheme="minorHAnsi" w:hAnsiTheme="minorHAnsi" w:cstheme="minorHAnsi"/>
          <w:szCs w:val="24"/>
        </w:rPr>
        <w:t xml:space="preserve">, de todas as etapas do certame, dias e locais de reunião e decisões tomadas pelo colegiado; </w:t>
      </w:r>
    </w:p>
    <w:p w14:paraId="248C4FEB" w14:textId="27463D47" w:rsidR="000703D6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XVII - Divulgar amplamente o pleito à população, com o auxílio do CMDCA e do Poder </w:t>
      </w:r>
      <w:r w:rsidR="004311E2" w:rsidRPr="005B40CE">
        <w:rPr>
          <w:rFonts w:asciiTheme="minorHAnsi" w:hAnsiTheme="minorHAnsi" w:cstheme="minorHAnsi"/>
          <w:szCs w:val="24"/>
        </w:rPr>
        <w:t>Executivo,</w:t>
      </w:r>
      <w:r w:rsidRPr="005B40CE">
        <w:rPr>
          <w:rFonts w:asciiTheme="minorHAnsi" w:hAnsiTheme="minorHAnsi" w:cstheme="minorHAnsi"/>
          <w:szCs w:val="24"/>
        </w:rPr>
        <w:t xml:space="preserve"> estimulando ao máximo a participação dos eleitores; </w:t>
      </w:r>
    </w:p>
    <w:p w14:paraId="00001100" w14:textId="2E2A36FD" w:rsidR="0026240B" w:rsidRPr="005B40CE" w:rsidRDefault="00C33CBE" w:rsidP="000703D6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XVIII - Resolver os casos omissos. </w:t>
      </w:r>
    </w:p>
    <w:p w14:paraId="0C6E4F7E" w14:textId="77777777" w:rsidR="0026240B" w:rsidRPr="005B40CE" w:rsidRDefault="0026240B" w:rsidP="002624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F8A57AB" w14:textId="35C8B7E5" w:rsidR="0026240B" w:rsidRPr="005B40CE" w:rsidRDefault="00C33CBE" w:rsidP="004311E2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b/>
          <w:bCs/>
          <w:szCs w:val="24"/>
        </w:rPr>
        <w:t xml:space="preserve">Art. </w:t>
      </w:r>
      <w:r w:rsidR="004311E2" w:rsidRPr="005B40CE">
        <w:rPr>
          <w:rFonts w:asciiTheme="minorHAnsi" w:hAnsiTheme="minorHAnsi" w:cstheme="minorHAnsi"/>
          <w:b/>
          <w:bCs/>
          <w:szCs w:val="24"/>
        </w:rPr>
        <w:t>5</w:t>
      </w:r>
      <w:r w:rsidRPr="005B40CE">
        <w:rPr>
          <w:rFonts w:asciiTheme="minorHAnsi" w:hAnsiTheme="minorHAnsi" w:cstheme="minorHAnsi"/>
          <w:b/>
          <w:bCs/>
          <w:szCs w:val="24"/>
        </w:rPr>
        <w:t>º</w:t>
      </w:r>
      <w:r w:rsidRPr="005B40CE">
        <w:rPr>
          <w:rFonts w:asciiTheme="minorHAnsi" w:hAnsiTheme="minorHAnsi" w:cstheme="minorHAnsi"/>
          <w:szCs w:val="24"/>
        </w:rPr>
        <w:t xml:space="preserve"> Cabe ao Poder Executivo Municipal fornecer à Comissão do Processo de Escolha assessoria técnica necessária ao regular desempenho de suas atribuições.</w:t>
      </w:r>
    </w:p>
    <w:p w14:paraId="50CC4724" w14:textId="77777777" w:rsidR="0026240B" w:rsidRPr="005B40CE" w:rsidRDefault="0026240B" w:rsidP="002624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31B15C9" w14:textId="7C4D0089" w:rsidR="0026240B" w:rsidRPr="005B40CE" w:rsidRDefault="00C33CBE" w:rsidP="002624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 </w:t>
      </w:r>
      <w:r w:rsidR="004311E2" w:rsidRPr="005B40CE">
        <w:rPr>
          <w:rFonts w:asciiTheme="minorHAnsi" w:hAnsiTheme="minorHAnsi" w:cstheme="minorHAnsi"/>
          <w:szCs w:val="24"/>
        </w:rPr>
        <w:tab/>
      </w:r>
      <w:r w:rsidRPr="005B40CE">
        <w:rPr>
          <w:rFonts w:asciiTheme="minorHAnsi" w:hAnsiTheme="minorHAnsi" w:cstheme="minorHAnsi"/>
          <w:b/>
          <w:bCs/>
          <w:szCs w:val="24"/>
        </w:rPr>
        <w:t xml:space="preserve">Art. </w:t>
      </w:r>
      <w:r w:rsidR="004311E2" w:rsidRPr="005B40CE">
        <w:rPr>
          <w:rFonts w:asciiTheme="minorHAnsi" w:hAnsiTheme="minorHAnsi" w:cstheme="minorHAnsi"/>
          <w:b/>
          <w:bCs/>
          <w:szCs w:val="24"/>
        </w:rPr>
        <w:t>6</w:t>
      </w:r>
      <w:r w:rsidRPr="005B40CE">
        <w:rPr>
          <w:rFonts w:asciiTheme="minorHAnsi" w:hAnsiTheme="minorHAnsi" w:cstheme="minorHAnsi"/>
          <w:b/>
          <w:bCs/>
          <w:szCs w:val="24"/>
        </w:rPr>
        <w:t>º</w:t>
      </w:r>
      <w:r w:rsidRPr="005B40CE">
        <w:rPr>
          <w:rFonts w:asciiTheme="minorHAnsi" w:hAnsiTheme="minorHAnsi" w:cstheme="minorHAnsi"/>
          <w:szCs w:val="24"/>
        </w:rPr>
        <w:t xml:space="preserve"> Esta Resolução entra em vigor na data de sua publicação. </w:t>
      </w:r>
    </w:p>
    <w:p w14:paraId="70D4E755" w14:textId="77777777" w:rsidR="0026240B" w:rsidRPr="005B40CE" w:rsidRDefault="0026240B" w:rsidP="002624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0DEE565" w14:textId="77777777" w:rsidR="0026240B" w:rsidRPr="005B40CE" w:rsidRDefault="0026240B" w:rsidP="002624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963B84E" w14:textId="482C39C0" w:rsidR="0026240B" w:rsidRPr="005B40CE" w:rsidRDefault="002D6C30" w:rsidP="004311E2">
      <w:pPr>
        <w:spacing w:line="276" w:lineRule="auto"/>
        <w:ind w:left="2124" w:firstLine="708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>Protásio Alves</w:t>
      </w:r>
      <w:r w:rsidR="00C33CBE" w:rsidRPr="005B40CE">
        <w:rPr>
          <w:rFonts w:asciiTheme="minorHAnsi" w:hAnsiTheme="minorHAnsi" w:cstheme="minorHAnsi"/>
          <w:szCs w:val="24"/>
        </w:rPr>
        <w:t xml:space="preserve">/RS, </w:t>
      </w:r>
      <w:r w:rsidR="00573DD4" w:rsidRPr="005B40CE">
        <w:rPr>
          <w:rFonts w:asciiTheme="minorHAnsi" w:hAnsiTheme="minorHAnsi" w:cstheme="minorHAnsi"/>
          <w:szCs w:val="24"/>
        </w:rPr>
        <w:t>31</w:t>
      </w:r>
      <w:r w:rsidR="00C33CBE" w:rsidRPr="005B40CE">
        <w:rPr>
          <w:rFonts w:asciiTheme="minorHAnsi" w:hAnsiTheme="minorHAnsi" w:cstheme="minorHAnsi"/>
          <w:szCs w:val="24"/>
        </w:rPr>
        <w:t xml:space="preserve"> de </w:t>
      </w:r>
      <w:r w:rsidR="0026240B" w:rsidRPr="005B40CE">
        <w:rPr>
          <w:rFonts w:asciiTheme="minorHAnsi" w:hAnsiTheme="minorHAnsi" w:cstheme="minorHAnsi"/>
          <w:szCs w:val="24"/>
        </w:rPr>
        <w:t>março</w:t>
      </w:r>
      <w:r w:rsidR="00C33CBE" w:rsidRPr="005B40CE">
        <w:rPr>
          <w:rFonts w:asciiTheme="minorHAnsi" w:hAnsiTheme="minorHAnsi" w:cstheme="minorHAnsi"/>
          <w:szCs w:val="24"/>
        </w:rPr>
        <w:t xml:space="preserve"> de 2</w:t>
      </w:r>
      <w:r w:rsidR="0026240B" w:rsidRPr="005B40CE">
        <w:rPr>
          <w:rFonts w:asciiTheme="minorHAnsi" w:hAnsiTheme="minorHAnsi" w:cstheme="minorHAnsi"/>
          <w:szCs w:val="24"/>
        </w:rPr>
        <w:t>023</w:t>
      </w:r>
      <w:r w:rsidR="00C33CBE" w:rsidRPr="005B40CE">
        <w:rPr>
          <w:rFonts w:asciiTheme="minorHAnsi" w:hAnsiTheme="minorHAnsi" w:cstheme="minorHAnsi"/>
          <w:szCs w:val="24"/>
        </w:rPr>
        <w:t xml:space="preserve">. </w:t>
      </w:r>
    </w:p>
    <w:p w14:paraId="1F0A3999" w14:textId="77777777" w:rsidR="0026240B" w:rsidRPr="005B40CE" w:rsidRDefault="0026240B" w:rsidP="002624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86F2A10" w14:textId="77777777" w:rsidR="0026240B" w:rsidRPr="005B40CE" w:rsidRDefault="0026240B" w:rsidP="002624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ACC6FE8" w14:textId="543BF357" w:rsidR="0026240B" w:rsidRPr="005B40CE" w:rsidRDefault="00573DD4" w:rsidP="00573DD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 xml:space="preserve">Maria Angélica </w:t>
      </w:r>
      <w:proofErr w:type="spellStart"/>
      <w:r w:rsidRPr="005B40CE">
        <w:rPr>
          <w:rFonts w:asciiTheme="minorHAnsi" w:hAnsiTheme="minorHAnsi" w:cstheme="minorHAnsi"/>
          <w:szCs w:val="24"/>
        </w:rPr>
        <w:t>Prigol</w:t>
      </w:r>
      <w:proofErr w:type="spellEnd"/>
      <w:r w:rsidRPr="005B40C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B40CE">
        <w:rPr>
          <w:rFonts w:asciiTheme="minorHAnsi" w:hAnsiTheme="minorHAnsi" w:cstheme="minorHAnsi"/>
          <w:szCs w:val="24"/>
        </w:rPr>
        <w:t>Defaveri</w:t>
      </w:r>
      <w:proofErr w:type="spellEnd"/>
    </w:p>
    <w:p w14:paraId="2C810908" w14:textId="21C9A4C8" w:rsidR="00C33CBE" w:rsidRPr="005B40CE" w:rsidRDefault="00C33CBE" w:rsidP="00573DD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szCs w:val="24"/>
        </w:rPr>
        <w:t>Presidente do CMDC</w:t>
      </w:r>
      <w:r w:rsidR="0026240B" w:rsidRPr="005B40CE">
        <w:rPr>
          <w:rFonts w:asciiTheme="minorHAnsi" w:hAnsiTheme="minorHAnsi" w:cstheme="minorHAnsi"/>
          <w:szCs w:val="24"/>
        </w:rPr>
        <w:t>A</w:t>
      </w:r>
      <w:bookmarkEnd w:id="1"/>
    </w:p>
    <w:p w14:paraId="7C768FDF" w14:textId="77777777" w:rsidR="00573DD4" w:rsidRPr="005B40CE" w:rsidRDefault="00573DD4" w:rsidP="00573DD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22DB311" w14:textId="4FDD40C5" w:rsidR="004311E2" w:rsidRPr="005B40CE" w:rsidRDefault="004311E2" w:rsidP="00573DD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455B725" w14:textId="1B5D828A" w:rsidR="004311E2" w:rsidRPr="005B40CE" w:rsidRDefault="004311E2" w:rsidP="00406626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B40CE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0722E5" wp14:editId="61D4EF43">
                <wp:simplePos x="0" y="0"/>
                <wp:positionH relativeFrom="column">
                  <wp:posOffset>-3810</wp:posOffset>
                </wp:positionH>
                <wp:positionV relativeFrom="paragraph">
                  <wp:posOffset>160020</wp:posOffset>
                </wp:positionV>
                <wp:extent cx="5391150" cy="962025"/>
                <wp:effectExtent l="0" t="0" r="0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962025"/>
                        </a:xfrm>
                        <a:custGeom>
                          <a:avLst/>
                          <a:gdLst>
                            <a:gd name="connsiteX0" fmla="*/ 0 w 1980565"/>
                            <a:gd name="connsiteY0" fmla="*/ 0 h 1259205"/>
                            <a:gd name="connsiteX1" fmla="*/ 1980565 w 1980565"/>
                            <a:gd name="connsiteY1" fmla="*/ 0 h 1259205"/>
                            <a:gd name="connsiteX2" fmla="*/ 1980565 w 1980565"/>
                            <a:gd name="connsiteY2" fmla="*/ 1259205 h 1259205"/>
                            <a:gd name="connsiteX3" fmla="*/ 0 w 1980565"/>
                            <a:gd name="connsiteY3" fmla="*/ 1259205 h 1259205"/>
                            <a:gd name="connsiteX4" fmla="*/ 0 w 1980565"/>
                            <a:gd name="connsiteY4" fmla="*/ 0 h 1259205"/>
                            <a:gd name="connsiteX0" fmla="*/ 0 w 1980565"/>
                            <a:gd name="connsiteY0" fmla="*/ 0 h 1259205"/>
                            <a:gd name="connsiteX1" fmla="*/ 1980565 w 1980565"/>
                            <a:gd name="connsiteY1" fmla="*/ 0 h 1259205"/>
                            <a:gd name="connsiteX2" fmla="*/ 1810581 w 1980565"/>
                            <a:gd name="connsiteY2" fmla="*/ 1183005 h 1259205"/>
                            <a:gd name="connsiteX3" fmla="*/ 0 w 1980565"/>
                            <a:gd name="connsiteY3" fmla="*/ 1259205 h 1259205"/>
                            <a:gd name="connsiteX4" fmla="*/ 0 w 1980565"/>
                            <a:gd name="connsiteY4" fmla="*/ 0 h 1259205"/>
                            <a:gd name="connsiteX0" fmla="*/ 0 w 1998150"/>
                            <a:gd name="connsiteY0" fmla="*/ 0 h 1259205"/>
                            <a:gd name="connsiteX1" fmla="*/ 1980565 w 1998150"/>
                            <a:gd name="connsiteY1" fmla="*/ 0 h 1259205"/>
                            <a:gd name="connsiteX2" fmla="*/ 1998150 w 1998150"/>
                            <a:gd name="connsiteY2" fmla="*/ 1253881 h 1259205"/>
                            <a:gd name="connsiteX3" fmla="*/ 0 w 1998150"/>
                            <a:gd name="connsiteY3" fmla="*/ 1259205 h 1259205"/>
                            <a:gd name="connsiteX4" fmla="*/ 0 w 1998150"/>
                            <a:gd name="connsiteY4" fmla="*/ 0 h 12592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8150" h="1259205">
                              <a:moveTo>
                                <a:pt x="0" y="0"/>
                              </a:moveTo>
                              <a:lnTo>
                                <a:pt x="1980565" y="0"/>
                              </a:lnTo>
                              <a:lnTo>
                                <a:pt x="1998150" y="1253881"/>
                              </a:lnTo>
                              <a:lnTo>
                                <a:pt x="0" y="1259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95B02" w14:textId="7514C0C4" w:rsidR="004311E2" w:rsidRPr="009A31B5" w:rsidRDefault="004311E2" w:rsidP="004311E2">
                            <w:pPr>
                              <w:ind w:left="-284" w:firstLine="284"/>
                              <w:jc w:val="center"/>
                              <w:rPr>
                                <w:rFonts w:ascii="HP Simplified" w:hAnsi="HP Simplifi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300722E5" id="Caixa de Texto 4" o:spid="_x0000_s1026" style="position:absolute;left:0;text-align:left;margin-left:-.3pt;margin-top:12.6pt;width:424.5pt;height:7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98150,12592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" adj="-11796480,,5400" path="m,l1980565,r17585,1253881l,1259205,,xe" fillcolor="white [3201]" stroked="f" strokeweight=".5pt">
                <v:stroke joinstyle="miter"/>
                <v:formulas/>
                <v:path arrowok="t" o:connecttype="custom" o:connectlocs="0,0;5343704,0;5391150,957957;0,962025;0,0" o:connectangles="0,0,0,0,0" textboxrect="0,0,1998150,1259205"/>
                <v:textbox>
                  <w:txbxContent>
                    <w:p w14:paraId="48195B02" w14:textId="7514C0C4" w:rsidR="004311E2" w:rsidRPr="009A31B5" w:rsidRDefault="004311E2" w:rsidP="004311E2">
                      <w:pPr>
                        <w:ind w:left="-284" w:firstLine="284"/>
                        <w:jc w:val="center"/>
                        <w:rPr>
                          <w:rFonts w:ascii="HP Simplified" w:hAnsi="HP Simplifi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11E2" w:rsidRPr="005B40CE" w:rsidSect="00C33CBE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4085E" w14:textId="77777777" w:rsidR="00BB0100" w:rsidRDefault="00BB0100" w:rsidP="00573DD4">
      <w:pPr>
        <w:spacing w:line="240" w:lineRule="auto"/>
      </w:pPr>
      <w:r>
        <w:separator/>
      </w:r>
    </w:p>
  </w:endnote>
  <w:endnote w:type="continuationSeparator" w:id="0">
    <w:p w14:paraId="226B2772" w14:textId="77777777" w:rsidR="00BB0100" w:rsidRDefault="00BB0100" w:rsidP="00573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BF37F" w14:textId="77777777" w:rsidR="00573DD4" w:rsidRDefault="00573DD4" w:rsidP="00573DD4">
    <w:pPr>
      <w:pStyle w:val="Rodap"/>
    </w:pPr>
    <w:r>
      <w:rPr>
        <w:rFonts w:ascii="Tahoma" w:hAnsi="Tahoma"/>
        <w:i/>
        <w:noProof/>
        <w:color w:val="000000"/>
        <w:sz w:val="20"/>
      </w:rPr>
      <w:drawing>
        <wp:inline distT="0" distB="0" distL="0" distR="0" wp14:anchorId="4F290CE1" wp14:editId="74DFE0FD">
          <wp:extent cx="1149444" cy="61912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883" cy="61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i/>
        <w:color w:val="000000"/>
        <w:sz w:val="20"/>
      </w:rPr>
      <w:t xml:space="preserve">                              </w:t>
    </w:r>
    <w:r w:rsidRPr="007F2A7E">
      <w:rPr>
        <w:rFonts w:ascii="Tahoma" w:hAnsi="Tahoma"/>
        <w:b/>
        <w:i/>
        <w:color w:val="000000"/>
        <w:sz w:val="20"/>
      </w:rPr>
      <w:t xml:space="preserve">      </w:t>
    </w:r>
    <w:r w:rsidRPr="0073539C">
      <w:rPr>
        <w:rFonts w:ascii="Tahoma" w:hAnsi="Tahoma"/>
        <w:b/>
        <w:i/>
        <w:color w:val="767171" w:themeColor="background2" w:themeShade="80"/>
        <w:sz w:val="20"/>
      </w:rPr>
      <w:t>PROTÁSIO ALVES -RS</w:t>
    </w:r>
  </w:p>
  <w:p w14:paraId="54C4C964" w14:textId="77777777" w:rsidR="00573DD4" w:rsidRDefault="00573D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17819" w14:textId="77777777" w:rsidR="00BB0100" w:rsidRDefault="00BB0100" w:rsidP="00573DD4">
      <w:pPr>
        <w:spacing w:line="240" w:lineRule="auto"/>
      </w:pPr>
      <w:r>
        <w:separator/>
      </w:r>
    </w:p>
  </w:footnote>
  <w:footnote w:type="continuationSeparator" w:id="0">
    <w:p w14:paraId="01614054" w14:textId="77777777" w:rsidR="00BB0100" w:rsidRDefault="00BB0100" w:rsidP="00573D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019DB" w14:textId="77777777" w:rsidR="00573DD4" w:rsidRPr="00573DD4" w:rsidRDefault="00573DD4" w:rsidP="00573DD4"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spacing w:line="240" w:lineRule="auto"/>
      <w:ind w:left="-1134"/>
      <w:textAlignment w:val="auto"/>
      <w:rPr>
        <w:rFonts w:eastAsiaTheme="minorHAnsi" w:cstheme="minorBidi"/>
        <w:i/>
        <w:kern w:val="0"/>
        <w:sz w:val="20"/>
        <w:lang w:eastAsia="en-US"/>
      </w:rPr>
    </w:pPr>
    <w:r w:rsidRPr="00573DD4">
      <w:rPr>
        <w:rFonts w:ascii="Tahoma" w:eastAsiaTheme="minorHAnsi" w:hAnsi="Tahoma" w:cstheme="minorBidi"/>
        <w:i/>
        <w:noProof/>
        <w:color w:val="000000"/>
        <w:kern w:val="0"/>
        <w:sz w:val="20"/>
      </w:rPr>
      <w:drawing>
        <wp:inline distT="0" distB="0" distL="0" distR="0" wp14:anchorId="198CDCA6" wp14:editId="4BF989F8">
          <wp:extent cx="1358265" cy="86666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409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3DD4">
      <w:rPr>
        <w:rFonts w:ascii="Calibri" w:eastAsia="Calibri" w:hAnsi="Calibri"/>
        <w:b/>
        <w:color w:val="CC0099"/>
        <w:kern w:val="0"/>
        <w:szCs w:val="24"/>
        <w:lang w:eastAsia="en-US"/>
      </w:rPr>
      <w:t xml:space="preserve">  CONSELHO </w:t>
    </w:r>
    <w:r w:rsidRPr="00573DD4">
      <w:rPr>
        <w:rFonts w:ascii="Calibri" w:eastAsia="Calibri" w:hAnsi="Calibri"/>
        <w:b/>
        <w:color w:val="3366FF"/>
        <w:kern w:val="0"/>
        <w:szCs w:val="24"/>
        <w:lang w:eastAsia="en-US"/>
      </w:rPr>
      <w:t xml:space="preserve">MUNICIPAL </w:t>
    </w:r>
    <w:r w:rsidRPr="00573DD4">
      <w:rPr>
        <w:rFonts w:ascii="Calibri" w:eastAsia="Calibri" w:hAnsi="Calibri"/>
        <w:b/>
        <w:color w:val="669900"/>
        <w:kern w:val="0"/>
        <w:szCs w:val="24"/>
        <w:lang w:eastAsia="en-US"/>
      </w:rPr>
      <w:t>DOS DIREITOS</w:t>
    </w:r>
    <w:r w:rsidRPr="00573DD4">
      <w:rPr>
        <w:rFonts w:ascii="Calibri" w:eastAsia="Calibri" w:hAnsi="Calibri"/>
        <w:b/>
        <w:kern w:val="0"/>
        <w:szCs w:val="24"/>
        <w:lang w:eastAsia="en-US"/>
      </w:rPr>
      <w:t xml:space="preserve"> </w:t>
    </w:r>
    <w:r w:rsidRPr="00573DD4">
      <w:rPr>
        <w:rFonts w:ascii="Calibri" w:eastAsia="Calibri" w:hAnsi="Calibri"/>
        <w:b/>
        <w:color w:val="FF5050"/>
        <w:kern w:val="0"/>
        <w:szCs w:val="24"/>
        <w:lang w:eastAsia="en-US"/>
      </w:rPr>
      <w:t>DA CRIANÇA E</w:t>
    </w:r>
    <w:r w:rsidRPr="00573DD4">
      <w:rPr>
        <w:rFonts w:ascii="Calibri" w:eastAsia="Calibri" w:hAnsi="Calibri"/>
        <w:b/>
        <w:kern w:val="0"/>
        <w:szCs w:val="24"/>
        <w:lang w:eastAsia="en-US"/>
      </w:rPr>
      <w:t xml:space="preserve"> </w:t>
    </w:r>
    <w:r w:rsidRPr="00573DD4">
      <w:rPr>
        <w:rFonts w:ascii="Calibri" w:eastAsia="Calibri" w:hAnsi="Calibri"/>
        <w:b/>
        <w:color w:val="663300"/>
        <w:kern w:val="0"/>
        <w:szCs w:val="24"/>
        <w:lang w:eastAsia="en-US"/>
      </w:rPr>
      <w:t>DO ADOLESCENTE</w:t>
    </w:r>
  </w:p>
  <w:p w14:paraId="662A8D50" w14:textId="77777777" w:rsidR="00573DD4" w:rsidRDefault="00573D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4FB"/>
    <w:multiLevelType w:val="hybridMultilevel"/>
    <w:tmpl w:val="DBB66F42"/>
    <w:lvl w:ilvl="0" w:tplc="A872CF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29553D"/>
    <w:multiLevelType w:val="hybridMultilevel"/>
    <w:tmpl w:val="EE2CBA40"/>
    <w:lvl w:ilvl="0" w:tplc="DB305492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A2"/>
    <w:rsid w:val="000703D6"/>
    <w:rsid w:val="00083655"/>
    <w:rsid w:val="000D210C"/>
    <w:rsid w:val="00132EA2"/>
    <w:rsid w:val="001914D0"/>
    <w:rsid w:val="0026240B"/>
    <w:rsid w:val="002D6C30"/>
    <w:rsid w:val="00300FE4"/>
    <w:rsid w:val="00406626"/>
    <w:rsid w:val="004311E2"/>
    <w:rsid w:val="00573DD4"/>
    <w:rsid w:val="00597186"/>
    <w:rsid w:val="005A2203"/>
    <w:rsid w:val="005B40CE"/>
    <w:rsid w:val="005F5CA7"/>
    <w:rsid w:val="00801EE5"/>
    <w:rsid w:val="00952368"/>
    <w:rsid w:val="009E0B14"/>
    <w:rsid w:val="00B228C0"/>
    <w:rsid w:val="00B6209F"/>
    <w:rsid w:val="00BB0100"/>
    <w:rsid w:val="00BE4F07"/>
    <w:rsid w:val="00C05932"/>
    <w:rsid w:val="00C3229A"/>
    <w:rsid w:val="00C33CBE"/>
    <w:rsid w:val="00E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4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32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Arial" w:eastAsia="Times New Roman" w:hAnsi="Arial" w:cs="Times New Roman"/>
      <w:kern w:val="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C059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05932"/>
    <w:rPr>
      <w:rFonts w:ascii="Arial" w:eastAsia="Times New Roman" w:hAnsi="Arial" w:cs="Times New Roman"/>
      <w:kern w:val="1"/>
      <w:sz w:val="24"/>
      <w:szCs w:val="20"/>
      <w:lang w:eastAsia="pt-BR"/>
    </w:rPr>
  </w:style>
  <w:style w:type="paragraph" w:customStyle="1" w:styleId="Default">
    <w:name w:val="Default"/>
    <w:rsid w:val="00C0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rsid w:val="00C0593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3DD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DD4"/>
    <w:rPr>
      <w:rFonts w:ascii="Arial" w:eastAsia="Times New Roman" w:hAnsi="Arial" w:cs="Times New Roman"/>
      <w:kern w:val="1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3DD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DD4"/>
    <w:rPr>
      <w:rFonts w:ascii="Arial" w:eastAsia="Times New Roman" w:hAnsi="Arial" w:cs="Times New Roman"/>
      <w:kern w:val="1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6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626"/>
    <w:rPr>
      <w:rFonts w:ascii="Tahoma" w:eastAsia="Times New Roman" w:hAnsi="Tahoma" w:cs="Tahoma"/>
      <w:kern w:val="1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32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Arial" w:eastAsia="Times New Roman" w:hAnsi="Arial" w:cs="Times New Roman"/>
      <w:kern w:val="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C059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05932"/>
    <w:rPr>
      <w:rFonts w:ascii="Arial" w:eastAsia="Times New Roman" w:hAnsi="Arial" w:cs="Times New Roman"/>
      <w:kern w:val="1"/>
      <w:sz w:val="24"/>
      <w:szCs w:val="20"/>
      <w:lang w:eastAsia="pt-BR"/>
    </w:rPr>
  </w:style>
  <w:style w:type="paragraph" w:customStyle="1" w:styleId="Default">
    <w:name w:val="Default"/>
    <w:rsid w:val="00C0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rsid w:val="00C0593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3DD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DD4"/>
    <w:rPr>
      <w:rFonts w:ascii="Arial" w:eastAsia="Times New Roman" w:hAnsi="Arial" w:cs="Times New Roman"/>
      <w:kern w:val="1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3DD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DD4"/>
    <w:rPr>
      <w:rFonts w:ascii="Arial" w:eastAsia="Times New Roman" w:hAnsi="Arial" w:cs="Times New Roman"/>
      <w:kern w:val="1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6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626"/>
    <w:rPr>
      <w:rFonts w:ascii="Tahoma" w:eastAsia="Times New Roman" w:hAnsi="Tahoma" w:cs="Tahoma"/>
      <w:kern w:val="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B342-A2BA-4862-B9FF-AC148D52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costa</dc:creator>
  <cp:keywords/>
  <dc:description/>
  <cp:lastModifiedBy>R CRAS</cp:lastModifiedBy>
  <cp:revision>7</cp:revision>
  <dcterms:created xsi:type="dcterms:W3CDTF">2023-03-29T19:07:00Z</dcterms:created>
  <dcterms:modified xsi:type="dcterms:W3CDTF">2023-03-31T19:47:00Z</dcterms:modified>
</cp:coreProperties>
</file>